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3E0D" w14:textId="77777777" w:rsidR="00A155C5" w:rsidRPr="00B73B61" w:rsidRDefault="00A155C5" w:rsidP="00A155C5">
      <w:pPr>
        <w:tabs>
          <w:tab w:val="left" w:pos="340"/>
          <w:tab w:val="left" w:pos="820"/>
        </w:tabs>
        <w:suppressAutoHyphens/>
        <w:autoSpaceDE w:val="0"/>
        <w:autoSpaceDN w:val="0"/>
        <w:adjustRightInd w:val="0"/>
        <w:spacing w:before="227" w:line="440" w:lineRule="atLeast"/>
        <w:textAlignment w:val="center"/>
        <w:rPr>
          <w:rFonts w:ascii="Arial" w:eastAsiaTheme="minorHAnsi" w:hAnsi="Arial" w:cs="Arial"/>
          <w:b/>
          <w:bCs/>
          <w:color w:val="A6BD5E"/>
          <w:sz w:val="40"/>
          <w:szCs w:val="40"/>
          <w:lang w:val="en-US"/>
        </w:rPr>
      </w:pPr>
      <w:r w:rsidRPr="00B73B61">
        <w:rPr>
          <w:rFonts w:ascii="Arial" w:eastAsiaTheme="minorHAnsi" w:hAnsi="Arial" w:cs="Arial"/>
          <w:b/>
          <w:bCs/>
          <w:color w:val="A6BD5E"/>
          <w:sz w:val="40"/>
          <w:szCs w:val="40"/>
          <w:lang w:val="en-US"/>
        </w:rPr>
        <w:t>Workforce supply, future demand and gap analysis</w:t>
      </w:r>
    </w:p>
    <w:p w14:paraId="79FCB450" w14:textId="351FEEDF" w:rsidR="00206793" w:rsidRDefault="00206793" w:rsidP="00E36EA8">
      <w:pPr>
        <w:rPr>
          <w:sz w:val="8"/>
          <w:szCs w:val="8"/>
        </w:rPr>
      </w:pPr>
    </w:p>
    <w:p w14:paraId="251BAE7D" w14:textId="77777777" w:rsidR="00855368" w:rsidRPr="00520FE3" w:rsidRDefault="00855368" w:rsidP="00E36EA8">
      <w:pPr>
        <w:rPr>
          <w:sz w:val="8"/>
          <w:szCs w:val="8"/>
        </w:rPr>
      </w:pP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851"/>
        <w:gridCol w:w="567"/>
        <w:gridCol w:w="567"/>
        <w:gridCol w:w="557"/>
        <w:gridCol w:w="51"/>
        <w:gridCol w:w="506"/>
        <w:gridCol w:w="445"/>
        <w:gridCol w:w="567"/>
        <w:gridCol w:w="151"/>
        <w:gridCol w:w="416"/>
        <w:gridCol w:w="567"/>
        <w:gridCol w:w="567"/>
        <w:gridCol w:w="5670"/>
      </w:tblGrid>
      <w:tr w:rsidR="005E7AFF" w:rsidRPr="004466CD" w14:paraId="482EF3C8" w14:textId="7F25FEFC" w:rsidTr="00B73B61">
        <w:trPr>
          <w:trHeight w:val="294"/>
        </w:trPr>
        <w:tc>
          <w:tcPr>
            <w:tcW w:w="992" w:type="dxa"/>
            <w:vMerge w:val="restart"/>
            <w:shd w:val="clear" w:color="auto" w:fill="A6BD5E"/>
            <w:vAlign w:val="center"/>
          </w:tcPr>
          <w:p w14:paraId="3E1942EC" w14:textId="3C3ED1B3" w:rsidR="005E7AFF" w:rsidRPr="004466CD" w:rsidRDefault="005E7AFF" w:rsidP="002F4A75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4466CD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Location</w:t>
            </w:r>
          </w:p>
        </w:tc>
        <w:tc>
          <w:tcPr>
            <w:tcW w:w="992" w:type="dxa"/>
            <w:vMerge w:val="restart"/>
            <w:shd w:val="clear" w:color="auto" w:fill="A6BD5E"/>
            <w:vAlign w:val="center"/>
          </w:tcPr>
          <w:p w14:paraId="66EF6AE8" w14:textId="35DFBA4E" w:rsidR="005E7AFF" w:rsidRPr="004466CD" w:rsidRDefault="005E7AFF" w:rsidP="002F4A7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Job family</w:t>
            </w:r>
          </w:p>
        </w:tc>
        <w:tc>
          <w:tcPr>
            <w:tcW w:w="993" w:type="dxa"/>
            <w:vMerge w:val="restart"/>
            <w:shd w:val="clear" w:color="auto" w:fill="A6BD5E"/>
            <w:vAlign w:val="center"/>
          </w:tcPr>
          <w:p w14:paraId="7848F0C7" w14:textId="517F32DC" w:rsidR="005E7AFF" w:rsidRPr="004466CD" w:rsidRDefault="005E7AFF" w:rsidP="004466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Job title</w:t>
            </w:r>
          </w:p>
        </w:tc>
        <w:tc>
          <w:tcPr>
            <w:tcW w:w="992" w:type="dxa"/>
            <w:vMerge w:val="restart"/>
            <w:shd w:val="clear" w:color="auto" w:fill="A6BD5E"/>
            <w:vAlign w:val="center"/>
          </w:tcPr>
          <w:p w14:paraId="0230FC29" w14:textId="2EEBC5A8" w:rsidR="005E7AFF" w:rsidRPr="004466CD" w:rsidRDefault="005E7AFF" w:rsidP="00800AB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Employment status</w:t>
            </w:r>
          </w:p>
        </w:tc>
        <w:tc>
          <w:tcPr>
            <w:tcW w:w="851" w:type="dxa"/>
            <w:vMerge w:val="restart"/>
            <w:shd w:val="clear" w:color="auto" w:fill="A6BD5E"/>
            <w:vAlign w:val="center"/>
          </w:tcPr>
          <w:p w14:paraId="1BC8176F" w14:textId="6D7F35A6" w:rsidR="005E7AFF" w:rsidRPr="004466CD" w:rsidRDefault="005E7AFF" w:rsidP="004466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Current headcount</w:t>
            </w:r>
          </w:p>
        </w:tc>
        <w:tc>
          <w:tcPr>
            <w:tcW w:w="1742" w:type="dxa"/>
            <w:gridSpan w:val="4"/>
            <w:shd w:val="clear" w:color="auto" w:fill="A6BD5E"/>
            <w:vAlign w:val="center"/>
          </w:tcPr>
          <w:p w14:paraId="749E9E66" w14:textId="304FC50D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Future planned headcount</w:t>
            </w:r>
          </w:p>
        </w:tc>
        <w:tc>
          <w:tcPr>
            <w:tcW w:w="1669" w:type="dxa"/>
            <w:gridSpan w:val="4"/>
            <w:shd w:val="clear" w:color="auto" w:fill="A6BD5E"/>
            <w:vAlign w:val="center"/>
          </w:tcPr>
          <w:p w14:paraId="279B5C51" w14:textId="206871BA" w:rsidR="005E7AFF" w:rsidRPr="004466CD" w:rsidRDefault="005E7AFF" w:rsidP="00800AB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Resignations / retirements</w:t>
            </w:r>
          </w:p>
        </w:tc>
        <w:tc>
          <w:tcPr>
            <w:tcW w:w="1550" w:type="dxa"/>
            <w:gridSpan w:val="3"/>
            <w:shd w:val="clear" w:color="auto" w:fill="A6BD5E"/>
            <w:vAlign w:val="center"/>
          </w:tcPr>
          <w:p w14:paraId="0CAE5E0E" w14:textId="00C4C3E6" w:rsidR="005E7AFF" w:rsidRPr="004466CD" w:rsidRDefault="005E7AFF" w:rsidP="00800AB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Gap headcount</w:t>
            </w:r>
          </w:p>
        </w:tc>
        <w:tc>
          <w:tcPr>
            <w:tcW w:w="5670" w:type="dxa"/>
            <w:vMerge w:val="restart"/>
            <w:shd w:val="clear" w:color="auto" w:fill="A6BD5E"/>
            <w:vAlign w:val="center"/>
          </w:tcPr>
          <w:p w14:paraId="400F10A4" w14:textId="5619E1AA" w:rsidR="005E7AFF" w:rsidRPr="004466CD" w:rsidRDefault="005E7AFF" w:rsidP="004466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Comments</w:t>
            </w:r>
          </w:p>
        </w:tc>
      </w:tr>
      <w:tr w:rsidR="005E7AFF" w:rsidRPr="004466CD" w14:paraId="63AF4B70" w14:textId="693D189D" w:rsidTr="00B73B61">
        <w:trPr>
          <w:trHeight w:val="420"/>
        </w:trPr>
        <w:tc>
          <w:tcPr>
            <w:tcW w:w="992" w:type="dxa"/>
            <w:vMerge/>
            <w:shd w:val="clear" w:color="auto" w:fill="009BB0"/>
            <w:vAlign w:val="center"/>
          </w:tcPr>
          <w:p w14:paraId="67C375C0" w14:textId="48388B24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009BB0"/>
            <w:vAlign w:val="center"/>
          </w:tcPr>
          <w:p w14:paraId="508946BA" w14:textId="16A20447" w:rsidR="005E7AFF" w:rsidRPr="004466CD" w:rsidRDefault="005E7AFF" w:rsidP="002F4A7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009BB0"/>
            <w:vAlign w:val="center"/>
          </w:tcPr>
          <w:p w14:paraId="3D6B30B3" w14:textId="2DEB1960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009BB0"/>
            <w:vAlign w:val="center"/>
          </w:tcPr>
          <w:p w14:paraId="543828C7" w14:textId="5F942C41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009BB0"/>
            <w:vAlign w:val="center"/>
          </w:tcPr>
          <w:p w14:paraId="09814DC3" w14:textId="27F1863C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6BD5E"/>
            <w:vAlign w:val="center"/>
          </w:tcPr>
          <w:p w14:paraId="4090E1CB" w14:textId="0E2CD3C4" w:rsidR="005E7AFF" w:rsidRPr="004466CD" w:rsidRDefault="005E7AFF" w:rsidP="00800AB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F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1 </w:t>
            </w:r>
          </w:p>
        </w:tc>
        <w:tc>
          <w:tcPr>
            <w:tcW w:w="567" w:type="dxa"/>
            <w:shd w:val="clear" w:color="auto" w:fill="A6BD5E"/>
            <w:vAlign w:val="center"/>
          </w:tcPr>
          <w:p w14:paraId="11330C2E" w14:textId="5D1FC4E0" w:rsidR="005E7AFF" w:rsidRPr="004466CD" w:rsidRDefault="005E7AFF" w:rsidP="004466CD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F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2</w:t>
            </w:r>
          </w:p>
        </w:tc>
        <w:tc>
          <w:tcPr>
            <w:tcW w:w="557" w:type="dxa"/>
            <w:shd w:val="clear" w:color="auto" w:fill="A6BD5E"/>
            <w:vAlign w:val="center"/>
          </w:tcPr>
          <w:p w14:paraId="6E66F59C" w14:textId="2D282AC4" w:rsidR="005E7AFF" w:rsidRPr="004466CD" w:rsidRDefault="005E7AFF" w:rsidP="004466CD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F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3</w:t>
            </w:r>
          </w:p>
        </w:tc>
        <w:tc>
          <w:tcPr>
            <w:tcW w:w="557" w:type="dxa"/>
            <w:gridSpan w:val="2"/>
            <w:shd w:val="clear" w:color="auto" w:fill="A6BD5E"/>
            <w:vAlign w:val="center"/>
          </w:tcPr>
          <w:p w14:paraId="7EE944A6" w14:textId="2C276C0B" w:rsidR="005E7AFF" w:rsidRPr="004466CD" w:rsidRDefault="005E7AFF" w:rsidP="002F4A75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1</w:t>
            </w:r>
          </w:p>
        </w:tc>
        <w:tc>
          <w:tcPr>
            <w:tcW w:w="445" w:type="dxa"/>
            <w:shd w:val="clear" w:color="auto" w:fill="A6BD5E"/>
            <w:vAlign w:val="center"/>
          </w:tcPr>
          <w:p w14:paraId="2B687D9D" w14:textId="702E9015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shd w:val="clear" w:color="auto" w:fill="A6BD5E"/>
            <w:vAlign w:val="center"/>
          </w:tcPr>
          <w:p w14:paraId="1572ABFA" w14:textId="3AB7BA81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3</w:t>
            </w:r>
          </w:p>
        </w:tc>
        <w:tc>
          <w:tcPr>
            <w:tcW w:w="567" w:type="dxa"/>
            <w:gridSpan w:val="2"/>
            <w:shd w:val="clear" w:color="auto" w:fill="A6BD5E"/>
            <w:vAlign w:val="center"/>
          </w:tcPr>
          <w:p w14:paraId="30F9C94A" w14:textId="422E2054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G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1</w:t>
            </w:r>
          </w:p>
        </w:tc>
        <w:tc>
          <w:tcPr>
            <w:tcW w:w="567" w:type="dxa"/>
            <w:shd w:val="clear" w:color="auto" w:fill="A6BD5E"/>
            <w:vAlign w:val="center"/>
          </w:tcPr>
          <w:p w14:paraId="4EC445E5" w14:textId="1E399FF3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G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shd w:val="clear" w:color="auto" w:fill="A6BD5E"/>
            <w:vAlign w:val="center"/>
          </w:tcPr>
          <w:p w14:paraId="22F22445" w14:textId="2D071CC1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G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3</w:t>
            </w:r>
          </w:p>
        </w:tc>
        <w:tc>
          <w:tcPr>
            <w:tcW w:w="5670" w:type="dxa"/>
            <w:vMerge/>
            <w:shd w:val="clear" w:color="auto" w:fill="009BB0"/>
            <w:vAlign w:val="center"/>
          </w:tcPr>
          <w:p w14:paraId="55FB928F" w14:textId="6EC55245" w:rsidR="005E7AFF" w:rsidRPr="004466CD" w:rsidRDefault="005E7AFF" w:rsidP="004466CD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800ABF" w:rsidRPr="004466CD" w14:paraId="642EBF98" w14:textId="06CA1C33" w:rsidTr="005E7AFF">
        <w:trPr>
          <w:trHeight w:val="433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4B27E2" w14:textId="78B8A2DD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3B66D3" w14:textId="5E4CE83A" w:rsidR="00800ABF" w:rsidRPr="004466CD" w:rsidRDefault="00800ABF" w:rsidP="004466CD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E883CE2" w14:textId="4775E14C" w:rsidR="00800ABF" w:rsidRPr="004466CD" w:rsidRDefault="00800ABF" w:rsidP="004466CD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FAE5DE" w14:textId="1050ED7D" w:rsidR="00800ABF" w:rsidRPr="004466CD" w:rsidRDefault="00800ABF" w:rsidP="004466CD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49456F9" w14:textId="0BB395D3" w:rsidR="00800ABF" w:rsidRPr="004466CD" w:rsidRDefault="00800ABF" w:rsidP="004466CD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5CB62" w14:textId="03878916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50C987" w14:textId="01A2C4C6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A6500B3" w14:textId="5C6380BF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442A8F3F" w14:textId="704F0EA7" w:rsidR="00800ABF" w:rsidRPr="004466CD" w:rsidRDefault="00800ABF" w:rsidP="005E7AFF">
            <w:pPr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5663714D" w14:textId="23F21E39" w:rsidR="00800ABF" w:rsidRPr="004466CD" w:rsidRDefault="00800ABF" w:rsidP="00B73B61">
            <w:pPr>
              <w:ind w:firstLine="42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10C08D" w14:textId="53660456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4E1CD2C" w14:textId="1A7E266F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F9CC71" w14:textId="74952CDD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FF088B" w14:textId="19E71180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D5C6803" w14:textId="50970EAD" w:rsidR="00800ABF" w:rsidRPr="004466CD" w:rsidRDefault="00800ABF" w:rsidP="005E7AFF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</w:p>
        </w:tc>
      </w:tr>
      <w:tr w:rsidR="00800ABF" w:rsidRPr="004466CD" w14:paraId="73E66B81" w14:textId="649AFA85" w:rsidTr="005E7AFF">
        <w:trPr>
          <w:trHeight w:val="44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791A16" w14:textId="4E1ADF02" w:rsidR="00800ABF" w:rsidRPr="004466CD" w:rsidRDefault="00800ABF" w:rsidP="004466CD">
            <w:pPr>
              <w:ind w:firstLine="42"/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309FA3" w14:textId="77EA3999" w:rsidR="00800ABF" w:rsidRPr="004466CD" w:rsidRDefault="00800ABF" w:rsidP="00800A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3AB5DF" w14:textId="6FB095AB" w:rsidR="00800ABF" w:rsidRPr="004466CD" w:rsidRDefault="00800ABF" w:rsidP="00800A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FF7E29" w14:textId="646AC152" w:rsidR="00800ABF" w:rsidRPr="004466CD" w:rsidRDefault="00800ABF" w:rsidP="005E7A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700EC2" w14:textId="6E875EE6" w:rsidR="00800ABF" w:rsidRPr="004466CD" w:rsidRDefault="00800ABF" w:rsidP="005E7A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84E15E" w14:textId="5A507DE9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31A900" w14:textId="5CFB4443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E7F2DA1" w14:textId="2E769868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607D79CC" w14:textId="16C18DFF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0B33C4B" w14:textId="1A713CAA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97424F" w14:textId="0531151C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1016E30" w14:textId="4703945C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D8AE3E" w14:textId="6F5F684F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23211" w14:textId="3A318534" w:rsidR="00800ABF" w:rsidRPr="004466CD" w:rsidRDefault="00800ABF" w:rsidP="005E7AFF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840AD83" w14:textId="18CFE1F4" w:rsidR="00800ABF" w:rsidRPr="004466CD" w:rsidRDefault="00800ABF" w:rsidP="005E7AF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014BDB27" w14:textId="420880E9" w:rsidTr="005E7AFF">
        <w:trPr>
          <w:trHeight w:val="40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B72394" w14:textId="7A1BFABF" w:rsidR="00800ABF" w:rsidRPr="004466CD" w:rsidRDefault="00800ABF" w:rsidP="004466CD">
            <w:pPr>
              <w:tabs>
                <w:tab w:val="left" w:pos="3026"/>
              </w:tabs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BCAEE7" w14:textId="1E6F5891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B92EC7" w14:textId="30A56ACC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CE0FB7" w14:textId="54FEEFD2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BE4558" w14:textId="534331B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20B4FF" w14:textId="53D71EEF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601DCE" w14:textId="7ECA8E69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46FADCC8" w14:textId="3BC65F4F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18D74EC3" w14:textId="44433BA1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49C4FA3A" w14:textId="625378D6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71F2F3" w14:textId="374F926B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2C76FF3" w14:textId="02B0E333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13C56C" w14:textId="5708C436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440AF7" w14:textId="065C3DAA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2E9B173" w14:textId="1BB65869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49810829" w14:textId="313FA069" w:rsidTr="005E7AFF">
        <w:trPr>
          <w:trHeight w:val="422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230537" w14:textId="36668CD0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ECB3D7" w14:textId="3D6A69B8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77770" w14:textId="1734E0A8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3AE4A3" w14:textId="629B3F62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38AC4E" w14:textId="77CEF3F9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B18898" w14:textId="31D948EA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CBF9FD" w14:textId="77988954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AC68294" w14:textId="3EA9150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5A2BED07" w14:textId="13EB22F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0776251" w14:textId="5D51530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C12FD" w14:textId="23610D8B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B5B4BD4" w14:textId="35E1680A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B32F9A" w14:textId="1F485B40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956087" w14:textId="1537F896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8FABFDE" w14:textId="78DB6ED6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7AEFFBB0" w14:textId="3523A91A" w:rsidTr="005E7AFF">
        <w:trPr>
          <w:trHeight w:val="40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22DB0B" w14:textId="4582E943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440AFF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8F0835A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73F0A93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961A216" w14:textId="02621151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47216E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1039E9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FD3F9FC" w14:textId="58420D9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0E4ED26E" w14:textId="5C8C5CE1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3FA51B65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13E77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42B1AF5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F66C3D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AFD229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1739BDB" w14:textId="3DA4E346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55333BCB" w14:textId="0E68EBEC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977D61" w14:textId="06BAC0CB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58C0D5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7D8407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040F82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8E2E47" w14:textId="18855B16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9E5D84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59E2A2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DB50F54" w14:textId="7E8A9A99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6590047E" w14:textId="5229EEA5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07E1879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62382A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5F3E601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6CDBC5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EEF483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545E159" w14:textId="691E7803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52D7A73E" w14:textId="392456F6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89BB08" w14:textId="53308067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B22AC4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BC4BB4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4BDA58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B42C74" w14:textId="69D3C57A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42D517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0A3E69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75C47ED0" w14:textId="61582EDA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3E007749" w14:textId="1619C5C3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FC97D68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C4E510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186104F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9156AB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20B00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E056170" w14:textId="7A27353B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18C4C5D4" w14:textId="38A4404E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37E3F8" w14:textId="08D0F415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587FD1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01ED8F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FAD1F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15798F" w14:textId="050459EF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86E56A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A2905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F8F0470" w14:textId="1708F420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484CDF1B" w14:textId="0E41DB84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3500164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931546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078B93FC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D0C18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EAD3A1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237AD34" w14:textId="13DCCE80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5F5F195F" w14:textId="13933351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E6182D" w14:textId="3201C435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C8D58F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37BDF51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B57A0B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11013A" w14:textId="3B557D52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A050A3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54FBA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FE7DBFE" w14:textId="485483E6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57002897" w14:textId="7CA9F9FA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8E79657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EB9295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1DB4AEAB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05F467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F733D1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A73A302" w14:textId="03C573C6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4BC54953" w14:textId="3B8F3474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B08735" w14:textId="77777777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  <w:p w14:paraId="0C4A84B4" w14:textId="5B16BEA2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D1B737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6E87C1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A9F0C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948872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E922C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1CE32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3CDA6DB" w14:textId="7046FB20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00890FEF" w14:textId="1CEF4F9B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7F05BF5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12C10B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16F875C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746C22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1086F5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12B7251" w14:textId="4E8BBE4E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2DF7CDB0" w14:textId="382E8F9A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C52429" w14:textId="77777777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092683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1765E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AD2190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ED78A3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6D8B2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082BD2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93AB0D6" w14:textId="654311A1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7C08B641" w14:textId="2386E638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7F9DB3C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87D1AF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5B3EEB9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6CFFA9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0518A8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54A2A03" w14:textId="2F164FEE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7D869F20" w14:textId="77C6E4DD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09117" w14:textId="77777777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4B1CDC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9F075A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E9E2F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4B3FC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85E6D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714345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56996B0" w14:textId="29860B6E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6D7F64E5" w14:textId="2B9EC7F4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AC3FBF6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AE760B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0A86DE6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F57C70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4A40C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7A98534" w14:textId="0C8FAB8B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50316A10" w14:textId="4F6187B6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99F7F6" w14:textId="77777777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CA507C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87EA71F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DE36B1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0E4E377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739A96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01B06B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388D862" w14:textId="122E6C69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22F26807" w14:textId="3EC69682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7018AFB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9ECDD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B5A77CD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5FF5A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FE59B7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3F54A86" w14:textId="7306552B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0ABF" w:rsidRPr="004466CD" w14:paraId="650DC2C5" w14:textId="7A26EFFA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B77303" w14:textId="77777777" w:rsidR="00800ABF" w:rsidRPr="004466CD" w:rsidRDefault="00800ABF" w:rsidP="004466CD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C3ED6A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77E59B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B06405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F9DF45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33642F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1428B8" w14:textId="77777777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44C3075" w14:textId="4DD9BC28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7A7C8468" w14:textId="13E21BAB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DA98BF7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8FCE6E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07530F9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0E4181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7495A" w14:textId="77777777" w:rsidR="00800ABF" w:rsidRPr="004466CD" w:rsidRDefault="00800ABF" w:rsidP="005E7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53F31FD" w14:textId="3CC4AE80" w:rsidR="00800ABF" w:rsidRPr="004466CD" w:rsidRDefault="00800ABF" w:rsidP="004466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F8ADEF0" w14:textId="1EAB33CE" w:rsidR="00D12C27" w:rsidRDefault="00D12C27" w:rsidP="00FC2B88">
      <w:pPr>
        <w:rPr>
          <w:sz w:val="12"/>
          <w:szCs w:val="12"/>
        </w:rPr>
      </w:pPr>
    </w:p>
    <w:p w14:paraId="011B7FC7" w14:textId="522C9698" w:rsidR="00D12C27" w:rsidRDefault="00D12C27" w:rsidP="00FC2B88">
      <w:pPr>
        <w:rPr>
          <w:sz w:val="12"/>
          <w:szCs w:val="12"/>
        </w:rPr>
        <w:sectPr w:rsidR="00D12C27" w:rsidSect="005B6302">
          <w:headerReference w:type="default" r:id="rId7"/>
          <w:footerReference w:type="default" r:id="rId8"/>
          <w:pgSz w:w="16820" w:h="11900" w:orient="landscape"/>
          <w:pgMar w:top="1440" w:right="1606" w:bottom="1014" w:left="742" w:header="708" w:footer="708" w:gutter="0"/>
          <w:cols w:space="708"/>
          <w:docGrid w:linePitch="360"/>
        </w:sectPr>
      </w:pPr>
    </w:p>
    <w:p w14:paraId="7FDB647E" w14:textId="44A4F822" w:rsidR="00520FE3" w:rsidRPr="00D12C27" w:rsidRDefault="00520FE3" w:rsidP="00D12C2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rial" w:eastAsiaTheme="minorHAnsi" w:hAnsi="Arial" w:cs="Arial"/>
          <w:color w:val="00003A"/>
          <w:sz w:val="19"/>
          <w:szCs w:val="19"/>
          <w:lang w:val="en-US"/>
        </w:rPr>
      </w:pPr>
    </w:p>
    <w:p w14:paraId="55757EBB" w14:textId="77777777" w:rsidR="005E7AFF" w:rsidRPr="00D12C27" w:rsidRDefault="005E7AFF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rial" w:eastAsiaTheme="minorHAnsi" w:hAnsi="Arial" w:cs="Arial"/>
          <w:color w:val="00003A"/>
          <w:sz w:val="19"/>
          <w:szCs w:val="19"/>
          <w:lang w:val="en-US"/>
        </w:rPr>
      </w:pPr>
    </w:p>
    <w:sectPr w:rsidR="005E7AFF" w:rsidRPr="00D12C27" w:rsidSect="00D12C27">
      <w:type w:val="continuous"/>
      <w:pgSz w:w="16820" w:h="11900" w:orient="landscape"/>
      <w:pgMar w:top="1440" w:right="1606" w:bottom="1014" w:left="742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7583" w14:textId="77777777" w:rsidR="006B4366" w:rsidRDefault="006B4366" w:rsidP="007E2038">
      <w:r>
        <w:separator/>
      </w:r>
    </w:p>
  </w:endnote>
  <w:endnote w:type="continuationSeparator" w:id="0">
    <w:p w14:paraId="148238FD" w14:textId="77777777" w:rsidR="006B4366" w:rsidRDefault="006B4366" w:rsidP="007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Calibri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20B08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123" w14:textId="660542EE" w:rsidR="00BB6079" w:rsidRDefault="00BB60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5A256" wp14:editId="0E8C76FC">
              <wp:simplePos x="0" y="0"/>
              <wp:positionH relativeFrom="column">
                <wp:posOffset>-87713</wp:posOffset>
              </wp:positionH>
              <wp:positionV relativeFrom="paragraph">
                <wp:posOffset>119032</wp:posOffset>
              </wp:positionV>
              <wp:extent cx="5299587" cy="31024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9587" cy="3102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19CC34" w14:textId="5DB5B079" w:rsidR="00BB6079" w:rsidRPr="00BB6079" w:rsidRDefault="00BB607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r w:rsidRPr="00BB607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To find out more, visit the Workforce Planning Connect website at</w:t>
                          </w:r>
                          <w:r w:rsidR="00B73B61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www.</w:t>
                          </w:r>
                          <w:r w:rsidR="00B73B61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qff.org.au/</w:t>
                          </w:r>
                          <w:r w:rsidR="00E34294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A2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9pt;margin-top:9.35pt;width:417.3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" filled="f" stroked="f" strokeweight=".5pt">
              <v:textbox>
                <w:txbxContent>
                  <w:p w14:paraId="2B19CC34" w14:textId="5DB5B079" w:rsidR="00BB6079" w:rsidRPr="00BB6079" w:rsidRDefault="00BB6079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r w:rsidRPr="00BB607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To find out more, visit the Workforce Planning Connect website at</w:t>
                    </w:r>
                    <w:r w:rsidR="00B73B61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www.</w:t>
                    </w:r>
                    <w:r w:rsidR="00B73B61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qff.org.au/</w:t>
                    </w:r>
                    <w:r w:rsidR="00E34294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resources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78F0" w14:textId="77777777" w:rsidR="006B4366" w:rsidRDefault="006B4366" w:rsidP="007E2038">
      <w:r>
        <w:separator/>
      </w:r>
    </w:p>
  </w:footnote>
  <w:footnote w:type="continuationSeparator" w:id="0">
    <w:p w14:paraId="1C98A2F1" w14:textId="77777777" w:rsidR="006B4366" w:rsidRDefault="006B4366" w:rsidP="007E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55F" w14:textId="79079982" w:rsidR="007E2038" w:rsidRDefault="005B630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98FE39" wp14:editId="3F297F5B">
          <wp:simplePos x="0" y="0"/>
          <wp:positionH relativeFrom="column">
            <wp:posOffset>-471170</wp:posOffset>
          </wp:positionH>
          <wp:positionV relativeFrom="paragraph">
            <wp:posOffset>-508574</wp:posOffset>
          </wp:positionV>
          <wp:extent cx="10801976" cy="76332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976" cy="763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1.75pt;height:31.75pt" o:bullet="t">
        <v:imagedata r:id="rId1" o:title="Bullet-Point"/>
      </v:shape>
    </w:pict>
  </w:numPicBullet>
  <w:abstractNum w:abstractNumId="0" w15:restartNumberingAfterBreak="0">
    <w:nsid w:val="09506D2A"/>
    <w:multiLevelType w:val="hybridMultilevel"/>
    <w:tmpl w:val="44A03E3A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27E"/>
    <w:multiLevelType w:val="hybridMultilevel"/>
    <w:tmpl w:val="66064BA0"/>
    <w:lvl w:ilvl="0" w:tplc="AC048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5DA"/>
    <w:multiLevelType w:val="hybridMultilevel"/>
    <w:tmpl w:val="18EECB9C"/>
    <w:lvl w:ilvl="0" w:tplc="AC0483C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BBF"/>
    <w:multiLevelType w:val="hybridMultilevel"/>
    <w:tmpl w:val="089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D36"/>
    <w:multiLevelType w:val="hybridMultilevel"/>
    <w:tmpl w:val="74623E8C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BD2"/>
    <w:multiLevelType w:val="hybridMultilevel"/>
    <w:tmpl w:val="276804C2"/>
    <w:lvl w:ilvl="0" w:tplc="AC0483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5BDF"/>
    <w:multiLevelType w:val="hybridMultilevel"/>
    <w:tmpl w:val="ABD48CB4"/>
    <w:lvl w:ilvl="0" w:tplc="AC048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6F3F"/>
    <w:multiLevelType w:val="hybridMultilevel"/>
    <w:tmpl w:val="06AEAC02"/>
    <w:lvl w:ilvl="0" w:tplc="314CA846">
      <w:start w:val="1"/>
      <w:numFmt w:val="bullet"/>
      <w:lvlText w:val=""/>
      <w:lvlPicBulletId w:val="0"/>
      <w:lvlJc w:val="left"/>
      <w:pPr>
        <w:ind w:left="30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63B13C0B"/>
    <w:multiLevelType w:val="hybridMultilevel"/>
    <w:tmpl w:val="7316B7B0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75129">
    <w:abstractNumId w:val="8"/>
  </w:num>
  <w:num w:numId="2" w16cid:durableId="311562571">
    <w:abstractNumId w:val="4"/>
  </w:num>
  <w:num w:numId="3" w16cid:durableId="1375497515">
    <w:abstractNumId w:val="0"/>
  </w:num>
  <w:num w:numId="4" w16cid:durableId="154037126">
    <w:abstractNumId w:val="2"/>
  </w:num>
  <w:num w:numId="5" w16cid:durableId="2103068984">
    <w:abstractNumId w:val="7"/>
  </w:num>
  <w:num w:numId="6" w16cid:durableId="1788429297">
    <w:abstractNumId w:val="3"/>
  </w:num>
  <w:num w:numId="7" w16cid:durableId="1844276145">
    <w:abstractNumId w:val="5"/>
  </w:num>
  <w:num w:numId="8" w16cid:durableId="5138488">
    <w:abstractNumId w:val="1"/>
  </w:num>
  <w:num w:numId="9" w16cid:durableId="15742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8"/>
    <w:rsid w:val="000620BA"/>
    <w:rsid w:val="00075D01"/>
    <w:rsid w:val="000B5777"/>
    <w:rsid w:val="000C4CDE"/>
    <w:rsid w:val="000D0E96"/>
    <w:rsid w:val="000E07C9"/>
    <w:rsid w:val="00206793"/>
    <w:rsid w:val="00240CD2"/>
    <w:rsid w:val="002F4A75"/>
    <w:rsid w:val="00335C77"/>
    <w:rsid w:val="00381248"/>
    <w:rsid w:val="00421EFD"/>
    <w:rsid w:val="004466CD"/>
    <w:rsid w:val="00470DBA"/>
    <w:rsid w:val="00520FE3"/>
    <w:rsid w:val="005B6302"/>
    <w:rsid w:val="005E7AFF"/>
    <w:rsid w:val="00637743"/>
    <w:rsid w:val="0068003D"/>
    <w:rsid w:val="006A478F"/>
    <w:rsid w:val="006B4366"/>
    <w:rsid w:val="007E2038"/>
    <w:rsid w:val="007E4AC4"/>
    <w:rsid w:val="00800ABF"/>
    <w:rsid w:val="00855368"/>
    <w:rsid w:val="008E4FB9"/>
    <w:rsid w:val="009C3DE9"/>
    <w:rsid w:val="00A155C5"/>
    <w:rsid w:val="00A2226B"/>
    <w:rsid w:val="00A47353"/>
    <w:rsid w:val="00A6410C"/>
    <w:rsid w:val="00AB55B5"/>
    <w:rsid w:val="00AC51C7"/>
    <w:rsid w:val="00B16C5D"/>
    <w:rsid w:val="00B73B61"/>
    <w:rsid w:val="00BB6079"/>
    <w:rsid w:val="00C321B9"/>
    <w:rsid w:val="00C41FC2"/>
    <w:rsid w:val="00C91010"/>
    <w:rsid w:val="00D12C27"/>
    <w:rsid w:val="00E101E8"/>
    <w:rsid w:val="00E34294"/>
    <w:rsid w:val="00E36EA8"/>
    <w:rsid w:val="00E37DDF"/>
    <w:rsid w:val="00E46772"/>
    <w:rsid w:val="00EF342D"/>
    <w:rsid w:val="00F23DBE"/>
    <w:rsid w:val="00F26E61"/>
    <w:rsid w:val="00F30F98"/>
    <w:rsid w:val="00F6641E"/>
    <w:rsid w:val="00FA438C"/>
    <w:rsid w:val="00FC2B8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2AC"/>
  <w14:defaultImageDpi w14:val="32767"/>
  <w15:chartTrackingRefBased/>
  <w15:docId w15:val="{39FF1ED5-D88B-6D41-A2DC-00A3A09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38"/>
  </w:style>
  <w:style w:type="paragraph" w:styleId="Footer">
    <w:name w:val="footer"/>
    <w:basedOn w:val="Normal"/>
    <w:link w:val="Foot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38"/>
  </w:style>
  <w:style w:type="paragraph" w:styleId="BalloonText">
    <w:name w:val="Balloon Text"/>
    <w:basedOn w:val="Normal"/>
    <w:link w:val="BalloonTextChar"/>
    <w:uiPriority w:val="99"/>
    <w:semiHidden/>
    <w:unhideWhenUsed/>
    <w:rsid w:val="007E2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38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7E2038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AvenirNext LT Pro Regular" w:hAnsi="AvenirNext LT Pro Regular" w:cs="AvenirNext LT Pro Regular"/>
      <w:color w:val="00003A"/>
      <w:sz w:val="19"/>
      <w:szCs w:val="19"/>
      <w:lang w:val="en-US"/>
    </w:rPr>
  </w:style>
  <w:style w:type="paragraph" w:customStyle="1" w:styleId="Headings">
    <w:name w:val="Headings"/>
    <w:basedOn w:val="Body"/>
    <w:uiPriority w:val="99"/>
    <w:rsid w:val="007E2038"/>
    <w:pPr>
      <w:spacing w:before="227" w:line="440" w:lineRule="atLeast"/>
      <w:jc w:val="left"/>
    </w:pPr>
    <w:rPr>
      <w:rFonts w:ascii="AvenirNext LT Pro Bold" w:hAnsi="AvenirNext LT Pro Bold" w:cs="AvenirNext LT Pro Bold"/>
      <w:b/>
      <w:bCs/>
      <w:color w:val="009BB0"/>
      <w:sz w:val="40"/>
      <w:szCs w:val="40"/>
    </w:rPr>
  </w:style>
  <w:style w:type="paragraph" w:customStyle="1" w:styleId="BodyBold">
    <w:name w:val="Body Bold"/>
    <w:basedOn w:val="Body"/>
    <w:uiPriority w:val="99"/>
    <w:rsid w:val="007E2038"/>
    <w:rPr>
      <w:rFonts w:ascii="AvenirNext LT Pro Bold" w:hAnsi="AvenirNext LT Pro Bold" w:cs="AvenirNext LT Pro Bold"/>
      <w:b/>
      <w:bCs/>
    </w:rPr>
  </w:style>
  <w:style w:type="table" w:styleId="TableGrid">
    <w:name w:val="Table Grid"/>
    <w:basedOn w:val="TableNormal"/>
    <w:uiPriority w:val="39"/>
    <w:rsid w:val="007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6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FE3"/>
    <w:pPr>
      <w:ind w:left="720"/>
      <w:contextualSpacing/>
    </w:pPr>
  </w:style>
  <w:style w:type="paragraph" w:customStyle="1" w:styleId="Tablebody">
    <w:name w:val="Table body"/>
    <w:basedOn w:val="Body"/>
    <w:uiPriority w:val="99"/>
    <w:rsid w:val="00520FE3"/>
    <w:pPr>
      <w:spacing w:line="200" w:lineRule="atLeast"/>
      <w:jc w:val="left"/>
    </w:pPr>
    <w:rPr>
      <w:color w:val="1C294F"/>
      <w:sz w:val="16"/>
      <w:szCs w:val="16"/>
    </w:rPr>
  </w:style>
  <w:style w:type="paragraph" w:customStyle="1" w:styleId="SubSubheadings">
    <w:name w:val="Sub Sub headings"/>
    <w:basedOn w:val="Normal"/>
    <w:uiPriority w:val="99"/>
    <w:rsid w:val="00D12C27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AvenirNext LT Pro Bold" w:eastAsiaTheme="minorHAnsi" w:hAnsi="AvenirNext LT Pro Bold" w:cs="AvenirNext LT Pro Bold"/>
      <w:b/>
      <w:bCs/>
      <w:caps/>
      <w:color w:val="00003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Dadd</dc:creator>
  <cp:keywords/>
  <dc:description/>
  <cp:lastModifiedBy>Sarah Dadd</cp:lastModifiedBy>
  <cp:revision>4</cp:revision>
  <dcterms:created xsi:type="dcterms:W3CDTF">2022-04-26T07:28:00Z</dcterms:created>
  <dcterms:modified xsi:type="dcterms:W3CDTF">2022-05-13T01:29:00Z</dcterms:modified>
</cp:coreProperties>
</file>